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2">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Curso sobre nociones básicas del régimen legal de la profesión policial.</w:t>
      </w:r>
      <w:r w:rsidDel="00000000" w:rsidR="00000000" w:rsidRPr="00000000">
        <w:rPr>
          <w:rtl w:val="0"/>
        </w:rPr>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6">
      <w:pPr>
        <w:spacing w:after="0" w:before="204"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Este curso de capacitación busca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color w:val="000000"/>
          <w:rtl w:val="0"/>
        </w:rPr>
        <w:t xml:space="preserve">brindar conocimientos relevantes y lineamientos esenciales de la Ley de Personal y de la organización de las Policías de la provincia de Buenos Aires. La intención es que el personal dependiente de la Superintendencia de Policía Científica adquiera los saberes técnicos específicos fundamentales para el desarrollo y el desenvolvimiento de su labor que implica comprender aspectos vinculados a los derechos, deberes y prohibiciones, situación de revista, carreras, categorías, licencias y permisos, retribuciones, compensaciones, indemnizaciones y subsidios. Así como también adquirir nociones relacionadas al régimen disciplinario, la caja de retiros, jubilaciones y pensiones de la Policía de la provincia de Buenos Aires</w:t>
      </w:r>
    </w:p>
    <w:p w:rsidR="00000000" w:rsidDel="00000000" w:rsidP="00000000" w:rsidRDefault="00000000" w:rsidRPr="00000000" w14:paraId="00000007">
      <w:pPr>
        <w:spacing w:after="0" w:before="204"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08">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La propuesta estará destinada a todo el personal policial en actividad dentro del ámbito de la Superintendencia de Policía Científica. </w:t>
      </w:r>
    </w:p>
    <w:p w:rsidR="00000000" w:rsidDel="00000000" w:rsidP="00000000" w:rsidRDefault="00000000" w:rsidRPr="00000000" w14:paraId="0000000A">
      <w:pPr>
        <w:spacing w:after="0"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Virtual</w:t>
      </w:r>
    </w:p>
    <w:p w:rsidR="00000000" w:rsidDel="00000000" w:rsidP="00000000" w:rsidRDefault="00000000" w:rsidRPr="00000000" w14:paraId="0000000D">
      <w:pPr>
        <w:spacing w:after="0"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12 horas reloj.</w:t>
      </w:r>
    </w:p>
    <w:p w:rsidR="00000000" w:rsidDel="00000000" w:rsidP="00000000" w:rsidRDefault="00000000" w:rsidRPr="00000000" w14:paraId="0000001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Ediciones: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edición</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1° desde el 13 de abril al 18 de mayo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2° desde el 15 de junio al 25 de julio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3°desde el 24 de agosto al 2 de octubre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50 vacantes por edición.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F">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i w:val="1"/>
          <w:iCs w:val="1"/>
          <w:color w:val="000000"/>
          <w:sz w:val="22"/>
          <w:szCs w:val="22"/>
          <w:rtl w:val="0"/>
        </w:rPr>
        <w:t xml:space="preserve">(221)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20">
      <w:pPr>
        <w:pStyle w:val="Heading1"/>
        <w:spacing w:after="0" w:before="0" w:line="360" w:lineRule="auto"/>
        <w:jc w:val="both"/>
        <w:rPr>
          <w:rFonts w:ascii="Arial" w:cs="Arial" w:eastAsia="Arial" w:hAnsi="Arial"/>
          <w:color w:val="000000"/>
          <w:sz w:val="22"/>
          <w:szCs w:val="22"/>
        </w:rPr>
      </w:pPr>
      <w:bookmarkStart w:colFirst="0" w:colLast="0" w:name="_heading=h.hfsgjam9dl5f" w:id="0"/>
      <w:bookmarkEnd w:id="0"/>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Textoindependiente">
    <w:name w:val="Body Text"/>
    <w:basedOn w:val="Normal"/>
    <w:link w:val="TextoindependienteCar"/>
    <w:uiPriority w:val="99"/>
    <w:semiHidden w:val="1"/>
    <w:unhideWhenUsed w:val="1"/>
    <w:rsid w:val="00853E56"/>
    <w:pPr>
      <w:spacing w:after="120"/>
    </w:pPr>
  </w:style>
  <w:style w:type="character" w:styleId="TextoindependienteCar" w:customStyle="1">
    <w:name w:val="Texto independiente Car"/>
    <w:basedOn w:val="Fuentedeprrafopredeter"/>
    <w:link w:val="Textoindependiente"/>
    <w:uiPriority w:val="99"/>
    <w:semiHidden w:val="1"/>
    <w:rsid w:val="00853E56"/>
  </w:style>
  <w:style w:type="paragraph" w:styleId="Prrafodelista">
    <w:name w:val="List Paragraph"/>
    <w:basedOn w:val="Normal"/>
    <w:uiPriority w:val="34"/>
    <w:qFormat w:val="1"/>
    <w:rsid w:val="00853E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vEiS5a+wBQSK4VuxDymvEg8aQ==">CgMxLjAyDmguaGZzZ2phbTlkbDVmOAByITFrNUJ2ejMwT3ZMdWhlOHplRXJ4eHkybi1MdmZUdXVMNQ==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